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710" w:rsidRDefault="004636DD">
      <w:pPr>
        <w:rPr>
          <w:lang w:val="es-ES"/>
        </w:rPr>
      </w:pPr>
      <w:r>
        <w:rPr>
          <w:lang w:val="es-ES" w:eastAsia="es-ES"/>
        </w:rPr>
        <w:drawing>
          <wp:inline distT="0" distB="0" distL="0" distR="0">
            <wp:extent cx="2607724" cy="606056"/>
            <wp:effectExtent l="19050" t="0" r="2126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724" cy="60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6DD" w:rsidRDefault="004636DD">
      <w:pPr>
        <w:rPr>
          <w:lang w:val="es-ES"/>
        </w:rPr>
      </w:pPr>
    </w:p>
    <w:p w:rsidR="004636DD" w:rsidRPr="004636DD" w:rsidRDefault="004636DD" w:rsidP="004636DD">
      <w:pPr>
        <w:jc w:val="center"/>
        <w:rPr>
          <w:sz w:val="44"/>
          <w:lang w:val="es-ES"/>
        </w:rPr>
      </w:pPr>
      <w:r w:rsidRPr="004636DD">
        <w:rPr>
          <w:sz w:val="44"/>
        </w:rPr>
        <w:t>FANS/CFRA Notification Form</w:t>
      </w:r>
    </w:p>
    <w:tbl>
      <w:tblPr>
        <w:tblStyle w:val="Tablaconcuadrcula"/>
        <w:tblW w:w="10031" w:type="dxa"/>
        <w:tblLook w:val="04A0"/>
      </w:tblPr>
      <w:tblGrid>
        <w:gridCol w:w="3085"/>
        <w:gridCol w:w="2268"/>
        <w:gridCol w:w="2410"/>
        <w:gridCol w:w="2268"/>
      </w:tblGrid>
      <w:tr w:rsidR="003F506C" w:rsidTr="004636DD">
        <w:trPr>
          <w:trHeight w:val="538"/>
        </w:trPr>
        <w:tc>
          <w:tcPr>
            <w:tcW w:w="3085" w:type="dxa"/>
            <w:vAlign w:val="center"/>
          </w:tcPr>
          <w:p w:rsidR="003F506C" w:rsidRPr="004636DD" w:rsidRDefault="003F506C" w:rsidP="003F506C">
            <w:pPr>
              <w:rPr>
                <w:sz w:val="28"/>
                <w:lang w:val="es-ES"/>
              </w:rPr>
            </w:pPr>
            <w:r w:rsidRPr="004636DD">
              <w:rPr>
                <w:sz w:val="28"/>
                <w:lang w:val="es-ES"/>
              </w:rPr>
              <w:t>Reporting Date</w:t>
            </w:r>
          </w:p>
        </w:tc>
        <w:tc>
          <w:tcPr>
            <w:tcW w:w="6946" w:type="dxa"/>
            <w:gridSpan w:val="3"/>
            <w:vAlign w:val="center"/>
          </w:tcPr>
          <w:p w:rsidR="003F506C" w:rsidRPr="004636DD" w:rsidRDefault="003F506C" w:rsidP="003F506C">
            <w:pPr>
              <w:rPr>
                <w:sz w:val="28"/>
                <w:lang w:val="es-ES"/>
              </w:rPr>
            </w:pPr>
            <w:r w:rsidRPr="004636DD">
              <w:rPr>
                <w:sz w:val="28"/>
                <w:lang w:val="es-ES"/>
              </w:rPr>
              <w:t xml:space="preserve">Reporting Unit </w:t>
            </w:r>
          </w:p>
        </w:tc>
      </w:tr>
      <w:tr w:rsidR="004636DD" w:rsidTr="004636DD">
        <w:trPr>
          <w:trHeight w:val="703"/>
        </w:trPr>
        <w:tc>
          <w:tcPr>
            <w:tcW w:w="3085" w:type="dxa"/>
            <w:vAlign w:val="center"/>
          </w:tcPr>
          <w:p w:rsidR="003F506C" w:rsidRPr="004636DD" w:rsidRDefault="003F506C" w:rsidP="003F506C">
            <w:pPr>
              <w:pStyle w:val="Prrafodelista"/>
              <w:ind w:left="0"/>
              <w:rPr>
                <w:sz w:val="28"/>
                <w:lang w:val="es-ES"/>
              </w:rPr>
            </w:pPr>
            <w:r w:rsidRPr="004636DD">
              <w:rPr>
                <w:sz w:val="28"/>
                <w:lang w:val="es-ES"/>
              </w:rPr>
              <w:t>Operator</w:t>
            </w:r>
          </w:p>
        </w:tc>
        <w:tc>
          <w:tcPr>
            <w:tcW w:w="2268" w:type="dxa"/>
            <w:vAlign w:val="center"/>
          </w:tcPr>
          <w:p w:rsidR="003F506C" w:rsidRPr="004636DD" w:rsidRDefault="003F506C" w:rsidP="003F506C">
            <w:pPr>
              <w:ind w:left="53"/>
              <w:rPr>
                <w:sz w:val="28"/>
                <w:lang w:val="es-ES"/>
              </w:rPr>
            </w:pPr>
            <w:r w:rsidRPr="004636DD">
              <w:rPr>
                <w:sz w:val="28"/>
                <w:lang w:val="es-ES"/>
              </w:rPr>
              <w:t>Call Sign</w:t>
            </w:r>
          </w:p>
        </w:tc>
        <w:tc>
          <w:tcPr>
            <w:tcW w:w="2410" w:type="dxa"/>
            <w:vAlign w:val="center"/>
          </w:tcPr>
          <w:p w:rsidR="003F506C" w:rsidRPr="004636DD" w:rsidRDefault="003F506C" w:rsidP="004636DD">
            <w:pPr>
              <w:ind w:left="34"/>
              <w:rPr>
                <w:sz w:val="28"/>
                <w:lang w:val="es-ES"/>
              </w:rPr>
            </w:pPr>
            <w:r w:rsidRPr="004636DD">
              <w:rPr>
                <w:sz w:val="28"/>
                <w:lang w:val="es-ES"/>
              </w:rPr>
              <w:t>Aircraft type</w:t>
            </w:r>
          </w:p>
        </w:tc>
        <w:tc>
          <w:tcPr>
            <w:tcW w:w="2268" w:type="dxa"/>
            <w:vAlign w:val="center"/>
          </w:tcPr>
          <w:p w:rsidR="003F506C" w:rsidRPr="004636DD" w:rsidRDefault="003F506C" w:rsidP="003F506C">
            <w:pPr>
              <w:ind w:left="33"/>
              <w:rPr>
                <w:sz w:val="28"/>
                <w:lang w:val="es-ES"/>
              </w:rPr>
            </w:pPr>
            <w:r w:rsidRPr="004636DD">
              <w:rPr>
                <w:sz w:val="28"/>
                <w:lang w:val="es-ES"/>
              </w:rPr>
              <w:t>FANS EQUIPE</w:t>
            </w:r>
          </w:p>
        </w:tc>
      </w:tr>
      <w:tr w:rsidR="003F506C" w:rsidTr="004636DD">
        <w:trPr>
          <w:trHeight w:val="685"/>
        </w:trPr>
        <w:tc>
          <w:tcPr>
            <w:tcW w:w="3085" w:type="dxa"/>
            <w:vAlign w:val="center"/>
          </w:tcPr>
          <w:p w:rsidR="003F506C" w:rsidRPr="004636DD" w:rsidRDefault="003F506C" w:rsidP="003F506C">
            <w:pPr>
              <w:rPr>
                <w:sz w:val="28"/>
                <w:lang w:val="es-ES"/>
              </w:rPr>
            </w:pPr>
            <w:r w:rsidRPr="004636DD">
              <w:rPr>
                <w:sz w:val="28"/>
                <w:lang w:val="es-ES"/>
              </w:rPr>
              <w:t>Date of Occurrence</w:t>
            </w:r>
          </w:p>
        </w:tc>
        <w:tc>
          <w:tcPr>
            <w:tcW w:w="2268" w:type="dxa"/>
            <w:vAlign w:val="center"/>
          </w:tcPr>
          <w:p w:rsidR="003F506C" w:rsidRPr="004636DD" w:rsidRDefault="003F506C" w:rsidP="003F506C">
            <w:pPr>
              <w:rPr>
                <w:sz w:val="28"/>
                <w:lang w:val="es-ES"/>
              </w:rPr>
            </w:pPr>
            <w:r w:rsidRPr="004636DD">
              <w:rPr>
                <w:sz w:val="28"/>
                <w:lang w:val="es-ES"/>
              </w:rPr>
              <w:t>Time UTC</w:t>
            </w:r>
          </w:p>
        </w:tc>
        <w:tc>
          <w:tcPr>
            <w:tcW w:w="4678" w:type="dxa"/>
            <w:gridSpan w:val="2"/>
            <w:vAlign w:val="center"/>
          </w:tcPr>
          <w:p w:rsidR="003F506C" w:rsidRPr="004636DD" w:rsidRDefault="003F506C" w:rsidP="003F506C">
            <w:pPr>
              <w:rPr>
                <w:sz w:val="28"/>
                <w:lang w:val="es-ES"/>
              </w:rPr>
            </w:pPr>
            <w:r w:rsidRPr="004636DD">
              <w:rPr>
                <w:sz w:val="28"/>
                <w:lang w:val="es-ES"/>
              </w:rPr>
              <w:t xml:space="preserve"> Occurrence Position</w:t>
            </w:r>
          </w:p>
        </w:tc>
      </w:tr>
      <w:tr w:rsidR="003F506C" w:rsidTr="004636DD">
        <w:trPr>
          <w:trHeight w:val="1274"/>
        </w:trPr>
        <w:tc>
          <w:tcPr>
            <w:tcW w:w="10031" w:type="dxa"/>
            <w:gridSpan w:val="4"/>
          </w:tcPr>
          <w:p w:rsidR="003F506C" w:rsidRPr="004636DD" w:rsidRDefault="003F506C" w:rsidP="003F506C">
            <w:pPr>
              <w:rPr>
                <w:sz w:val="28"/>
                <w:lang w:val="es-ES"/>
              </w:rPr>
            </w:pPr>
            <w:r w:rsidRPr="004636DD">
              <w:rPr>
                <w:sz w:val="28"/>
                <w:lang w:val="es-ES"/>
              </w:rPr>
              <w:t>Description and Action Followed:</w:t>
            </w:r>
          </w:p>
        </w:tc>
      </w:tr>
    </w:tbl>
    <w:p w:rsidR="003F506C" w:rsidRDefault="003F506C">
      <w:pPr>
        <w:rPr>
          <w:lang w:val="es-ES" w:eastAsia="es-ES"/>
        </w:rPr>
      </w:pPr>
    </w:p>
    <w:tbl>
      <w:tblPr>
        <w:tblW w:w="9993" w:type="dxa"/>
        <w:tblCellMar>
          <w:left w:w="0" w:type="dxa"/>
          <w:right w:w="0" w:type="dxa"/>
        </w:tblCellMar>
        <w:tblLook w:val="04A0"/>
      </w:tblPr>
      <w:tblGrid>
        <w:gridCol w:w="9993"/>
      </w:tblGrid>
      <w:tr w:rsidR="003F506C" w:rsidRPr="003F506C" w:rsidTr="004636DD">
        <w:trPr>
          <w:trHeight w:val="580"/>
        </w:trPr>
        <w:tc>
          <w:tcPr>
            <w:tcW w:w="9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F506C" w:rsidRPr="003F506C" w:rsidRDefault="003F506C" w:rsidP="003F506C">
            <w:pPr>
              <w:spacing w:after="0" w:line="291" w:lineRule="atLeast"/>
              <w:jc w:val="center"/>
              <w:rPr>
                <w:rFonts w:ascii="Arial" w:eastAsia="Times New Roman" w:hAnsi="Arial" w:cs="Arial"/>
                <w:noProof w:val="0"/>
                <w:sz w:val="36"/>
                <w:szCs w:val="36"/>
                <w:lang w:val="es-ES" w:eastAsia="es-ES"/>
              </w:rPr>
            </w:pPr>
            <w:r w:rsidRPr="003F506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24"/>
                <w:lang w:eastAsia="es-ES"/>
              </w:rPr>
              <w:t>CLASIFICATION</w:t>
            </w:r>
            <w:r w:rsidRPr="003F506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24"/>
                <w:lang w:val="es-ES_tradnl" w:eastAsia="es-ES"/>
              </w:rPr>
              <w:t xml:space="preserve"> </w:t>
            </w:r>
          </w:p>
        </w:tc>
      </w:tr>
      <w:tr w:rsidR="003F506C" w:rsidRPr="003F506C" w:rsidTr="004636DD">
        <w:trPr>
          <w:trHeight w:val="4217"/>
        </w:trPr>
        <w:tc>
          <w:tcPr>
            <w:tcW w:w="9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636DD" w:rsidRPr="004636DD" w:rsidRDefault="004636DD" w:rsidP="004636DD">
            <w:pPr>
              <w:spacing w:after="0" w:line="300" w:lineRule="auto"/>
              <w:ind w:left="1267"/>
              <w:contextualSpacing/>
              <w:rPr>
                <w:rFonts w:ascii="Arial" w:eastAsia="Times New Roman" w:hAnsi="Arial" w:cs="Arial"/>
                <w:noProof w:val="0"/>
                <w:color w:val="000000"/>
                <w:szCs w:val="36"/>
                <w:lang w:val="en-US" w:eastAsia="es-ES"/>
              </w:rPr>
            </w:pPr>
          </w:p>
          <w:p w:rsidR="003F506C" w:rsidRPr="003F506C" w:rsidRDefault="003F506C" w:rsidP="003F506C">
            <w:pPr>
              <w:numPr>
                <w:ilvl w:val="0"/>
                <w:numId w:val="2"/>
              </w:numPr>
              <w:spacing w:after="0" w:line="300" w:lineRule="auto"/>
              <w:ind w:left="1267"/>
              <w:contextualSpacing/>
              <w:rPr>
                <w:rFonts w:ascii="Arial" w:eastAsia="Times New Roman" w:hAnsi="Arial" w:cs="Arial"/>
                <w:noProof w:val="0"/>
                <w:color w:val="000000"/>
                <w:sz w:val="24"/>
                <w:szCs w:val="36"/>
                <w:lang w:val="en-US" w:eastAsia="es-ES"/>
              </w:rPr>
            </w:pPr>
            <w:r w:rsidRPr="003F506C">
              <w:rPr>
                <w:rFonts w:ascii="Arial" w:eastAsia="Calibri" w:hAnsi="Arial" w:cs="ArialMT"/>
                <w:noProof w:val="0"/>
                <w:color w:val="000000"/>
                <w:kern w:val="24"/>
                <w:sz w:val="24"/>
                <w:szCs w:val="20"/>
                <w:lang w:eastAsia="es-ES"/>
              </w:rPr>
              <w:t>Log-On received from aircraft not flying your airspace</w:t>
            </w:r>
            <w:r w:rsidRPr="003F506C">
              <w:rPr>
                <w:rFonts w:ascii="ENAIRE Titillium Regular" w:eastAsia="Calibri" w:hAnsi="ENAIRE Titillium Regular" w:cs="ArialMT"/>
                <w:noProof w:val="0"/>
                <w:color w:val="00224C"/>
                <w:kern w:val="24"/>
                <w:sz w:val="24"/>
                <w:szCs w:val="20"/>
                <w:lang w:val="en-US" w:eastAsia="es-ES"/>
              </w:rPr>
              <w:t xml:space="preserve"> </w:t>
            </w:r>
          </w:p>
          <w:p w:rsidR="003F506C" w:rsidRPr="003F506C" w:rsidRDefault="003F506C" w:rsidP="003F506C">
            <w:pPr>
              <w:numPr>
                <w:ilvl w:val="0"/>
                <w:numId w:val="2"/>
              </w:numPr>
              <w:spacing w:after="0" w:line="300" w:lineRule="auto"/>
              <w:ind w:left="1267"/>
              <w:contextualSpacing/>
              <w:rPr>
                <w:rFonts w:ascii="Arial" w:eastAsia="Times New Roman" w:hAnsi="Arial" w:cs="Arial"/>
                <w:noProof w:val="0"/>
                <w:color w:val="000000"/>
                <w:sz w:val="24"/>
                <w:szCs w:val="36"/>
                <w:lang w:val="en-US" w:eastAsia="es-ES"/>
              </w:rPr>
            </w:pPr>
            <w:r w:rsidRPr="003F506C">
              <w:rPr>
                <w:rFonts w:ascii="Arial" w:eastAsia="Calibri" w:hAnsi="Arial" w:cs="ArialMT"/>
                <w:noProof w:val="0"/>
                <w:color w:val="000000"/>
                <w:kern w:val="24"/>
                <w:sz w:val="24"/>
                <w:szCs w:val="20"/>
                <w:lang w:eastAsia="es-ES"/>
              </w:rPr>
              <w:t>A/C Log-On with incorrect flight identification</w:t>
            </w:r>
            <w:r w:rsidRPr="003F506C">
              <w:rPr>
                <w:rFonts w:ascii="ENAIRE Titillium Regular" w:eastAsia="Calibri" w:hAnsi="ENAIRE Titillium Regular" w:cs="ArialMT"/>
                <w:noProof w:val="0"/>
                <w:color w:val="00224C"/>
                <w:kern w:val="24"/>
                <w:sz w:val="24"/>
                <w:szCs w:val="20"/>
                <w:lang w:val="en-US" w:eastAsia="es-ES"/>
              </w:rPr>
              <w:t xml:space="preserve"> </w:t>
            </w:r>
          </w:p>
          <w:p w:rsidR="003F506C" w:rsidRPr="003F506C" w:rsidRDefault="003F506C" w:rsidP="003F506C">
            <w:pPr>
              <w:numPr>
                <w:ilvl w:val="0"/>
                <w:numId w:val="2"/>
              </w:numPr>
              <w:spacing w:after="0" w:line="300" w:lineRule="auto"/>
              <w:ind w:left="1267"/>
              <w:contextualSpacing/>
              <w:rPr>
                <w:rFonts w:ascii="Arial" w:eastAsia="Times New Roman" w:hAnsi="Arial" w:cs="Arial"/>
                <w:noProof w:val="0"/>
                <w:color w:val="000000"/>
                <w:sz w:val="24"/>
                <w:szCs w:val="36"/>
                <w:lang w:val="en-US" w:eastAsia="es-ES"/>
              </w:rPr>
            </w:pPr>
            <w:r w:rsidRPr="003F506C">
              <w:rPr>
                <w:rFonts w:ascii="Arial" w:eastAsia="Calibri" w:hAnsi="Arial" w:cs="ArialMT"/>
                <w:noProof w:val="0"/>
                <w:color w:val="000000"/>
                <w:kern w:val="24"/>
                <w:sz w:val="24"/>
                <w:szCs w:val="20"/>
                <w:lang w:eastAsia="es-ES"/>
              </w:rPr>
              <w:t>Log-On from Aircraft not declaring ADS-C capacity in FP</w:t>
            </w:r>
            <w:r w:rsidRPr="003F506C">
              <w:rPr>
                <w:rFonts w:ascii="ENAIRE Titillium Regular" w:eastAsia="Calibri" w:hAnsi="ENAIRE Titillium Regular" w:cs="ArialMT"/>
                <w:noProof w:val="0"/>
                <w:color w:val="00224C"/>
                <w:kern w:val="24"/>
                <w:sz w:val="24"/>
                <w:szCs w:val="20"/>
                <w:lang w:val="en-US" w:eastAsia="es-ES"/>
              </w:rPr>
              <w:t xml:space="preserve"> </w:t>
            </w:r>
          </w:p>
          <w:p w:rsidR="003F506C" w:rsidRPr="003F506C" w:rsidRDefault="003F506C" w:rsidP="003F506C">
            <w:pPr>
              <w:numPr>
                <w:ilvl w:val="0"/>
                <w:numId w:val="2"/>
              </w:numPr>
              <w:spacing w:after="0" w:line="300" w:lineRule="auto"/>
              <w:ind w:left="1267"/>
              <w:contextualSpacing/>
              <w:rPr>
                <w:rFonts w:ascii="Arial" w:eastAsia="Times New Roman" w:hAnsi="Arial" w:cs="Arial"/>
                <w:noProof w:val="0"/>
                <w:color w:val="000000"/>
                <w:sz w:val="24"/>
                <w:szCs w:val="36"/>
                <w:lang w:val="en-US" w:eastAsia="es-ES"/>
              </w:rPr>
            </w:pPr>
            <w:r w:rsidRPr="003F506C">
              <w:rPr>
                <w:rFonts w:ascii="Arial" w:eastAsia="Calibri" w:hAnsi="Arial" w:cs="ArialMT"/>
                <w:noProof w:val="0"/>
                <w:color w:val="000000"/>
                <w:kern w:val="24"/>
                <w:sz w:val="24"/>
                <w:szCs w:val="20"/>
                <w:lang w:eastAsia="es-ES"/>
              </w:rPr>
              <w:t>Unknown ADS-C messages are received.</w:t>
            </w:r>
            <w:r w:rsidRPr="003F506C">
              <w:rPr>
                <w:rFonts w:ascii="ENAIRE Titillium Regular" w:eastAsia="Calibri" w:hAnsi="ENAIRE Titillium Regular" w:cs="ArialMT"/>
                <w:noProof w:val="0"/>
                <w:color w:val="00224C"/>
                <w:kern w:val="24"/>
                <w:sz w:val="24"/>
                <w:szCs w:val="20"/>
                <w:lang w:val="en-US" w:eastAsia="es-ES"/>
              </w:rPr>
              <w:t xml:space="preserve"> </w:t>
            </w:r>
          </w:p>
          <w:p w:rsidR="003F506C" w:rsidRPr="003F506C" w:rsidRDefault="003F506C" w:rsidP="003F506C">
            <w:pPr>
              <w:numPr>
                <w:ilvl w:val="0"/>
                <w:numId w:val="2"/>
              </w:numPr>
              <w:spacing w:after="0" w:line="300" w:lineRule="auto"/>
              <w:ind w:left="1267"/>
              <w:contextualSpacing/>
              <w:rPr>
                <w:rFonts w:ascii="Arial" w:eastAsia="Times New Roman" w:hAnsi="Arial" w:cs="Arial"/>
                <w:noProof w:val="0"/>
                <w:color w:val="000000"/>
                <w:sz w:val="24"/>
                <w:szCs w:val="36"/>
                <w:lang w:val="en-US" w:eastAsia="es-ES"/>
              </w:rPr>
            </w:pPr>
            <w:r w:rsidRPr="003F506C">
              <w:rPr>
                <w:rFonts w:ascii="Arial" w:eastAsia="Calibri" w:hAnsi="Arial" w:cs="ArialMT"/>
                <w:noProof w:val="0"/>
                <w:color w:val="000000"/>
                <w:kern w:val="24"/>
                <w:sz w:val="24"/>
                <w:szCs w:val="20"/>
                <w:lang w:eastAsia="es-ES"/>
              </w:rPr>
              <w:t>A/Cs remain ADS-C connected after exiting airspace</w:t>
            </w:r>
            <w:r w:rsidRPr="003F506C">
              <w:rPr>
                <w:rFonts w:ascii="ENAIRE Titillium Regular" w:eastAsia="Calibri" w:hAnsi="ENAIRE Titillium Regular" w:cs="ArialMT"/>
                <w:noProof w:val="0"/>
                <w:color w:val="00224C"/>
                <w:kern w:val="24"/>
                <w:sz w:val="24"/>
                <w:szCs w:val="20"/>
                <w:lang w:val="en-US" w:eastAsia="es-ES"/>
              </w:rPr>
              <w:t xml:space="preserve"> </w:t>
            </w:r>
          </w:p>
          <w:p w:rsidR="003F506C" w:rsidRPr="003F506C" w:rsidRDefault="003F506C" w:rsidP="003F506C">
            <w:pPr>
              <w:numPr>
                <w:ilvl w:val="0"/>
                <w:numId w:val="2"/>
              </w:numPr>
              <w:spacing w:after="0" w:line="300" w:lineRule="auto"/>
              <w:ind w:left="1267"/>
              <w:contextualSpacing/>
              <w:rPr>
                <w:rFonts w:ascii="Arial" w:eastAsia="Times New Roman" w:hAnsi="Arial" w:cs="Arial"/>
                <w:noProof w:val="0"/>
                <w:color w:val="000000"/>
                <w:sz w:val="24"/>
                <w:szCs w:val="36"/>
                <w:lang w:val="en-US" w:eastAsia="es-ES"/>
              </w:rPr>
            </w:pPr>
            <w:r w:rsidRPr="003F506C">
              <w:rPr>
                <w:rFonts w:ascii="Arial" w:eastAsia="Calibri" w:hAnsi="Arial" w:cs="ArialMT"/>
                <w:noProof w:val="0"/>
                <w:color w:val="000000"/>
                <w:kern w:val="24"/>
                <w:sz w:val="24"/>
                <w:szCs w:val="20"/>
                <w:lang w:eastAsia="es-ES"/>
              </w:rPr>
              <w:t xml:space="preserve">A/Cs remain ADS-C connected after landing </w:t>
            </w:r>
          </w:p>
          <w:p w:rsidR="003F506C" w:rsidRPr="003F506C" w:rsidRDefault="003F506C" w:rsidP="003F506C">
            <w:pPr>
              <w:numPr>
                <w:ilvl w:val="0"/>
                <w:numId w:val="2"/>
              </w:numPr>
              <w:spacing w:after="0" w:line="300" w:lineRule="auto"/>
              <w:ind w:left="1267"/>
              <w:contextualSpacing/>
              <w:rPr>
                <w:rFonts w:ascii="Arial" w:eastAsia="Times New Roman" w:hAnsi="Arial" w:cs="Arial"/>
                <w:noProof w:val="0"/>
                <w:color w:val="000000"/>
                <w:sz w:val="24"/>
                <w:szCs w:val="36"/>
                <w:lang w:val="en-US" w:eastAsia="es-ES"/>
              </w:rPr>
            </w:pPr>
            <w:r w:rsidRPr="003F506C">
              <w:rPr>
                <w:rFonts w:ascii="Arial" w:eastAsia="Calibri" w:hAnsi="Arial" w:cs="ArialMT"/>
                <w:noProof w:val="0"/>
                <w:color w:val="000000"/>
                <w:kern w:val="24"/>
                <w:sz w:val="24"/>
                <w:szCs w:val="20"/>
                <w:lang w:eastAsia="es-ES"/>
              </w:rPr>
              <w:t>Different reports in the same ADS-C message.</w:t>
            </w:r>
            <w:r w:rsidRPr="003F506C">
              <w:rPr>
                <w:rFonts w:ascii="ENAIRE Titillium Regular" w:eastAsia="Calibri" w:hAnsi="ENAIRE Titillium Regular" w:cs="ArialMT"/>
                <w:noProof w:val="0"/>
                <w:color w:val="00224C"/>
                <w:kern w:val="24"/>
                <w:sz w:val="24"/>
                <w:szCs w:val="20"/>
                <w:lang w:val="en-US" w:eastAsia="es-ES"/>
              </w:rPr>
              <w:t xml:space="preserve"> </w:t>
            </w:r>
          </w:p>
          <w:p w:rsidR="003F506C" w:rsidRPr="003F506C" w:rsidRDefault="003F506C" w:rsidP="003F506C">
            <w:pPr>
              <w:numPr>
                <w:ilvl w:val="0"/>
                <w:numId w:val="2"/>
              </w:numPr>
              <w:spacing w:after="0" w:line="300" w:lineRule="auto"/>
              <w:ind w:left="1267"/>
              <w:contextualSpacing/>
              <w:rPr>
                <w:rFonts w:ascii="Arial" w:eastAsia="Times New Roman" w:hAnsi="Arial" w:cs="Arial"/>
                <w:noProof w:val="0"/>
                <w:color w:val="000000"/>
                <w:sz w:val="24"/>
                <w:szCs w:val="36"/>
                <w:lang w:val="en-US" w:eastAsia="es-ES"/>
              </w:rPr>
            </w:pPr>
            <w:r w:rsidRPr="003F506C">
              <w:rPr>
                <w:rFonts w:ascii="Arial" w:eastAsia="Calibri" w:hAnsi="Arial" w:cs="ArialMT"/>
                <w:noProof w:val="0"/>
                <w:color w:val="000000"/>
                <w:kern w:val="24"/>
                <w:sz w:val="24"/>
                <w:szCs w:val="20"/>
                <w:lang w:eastAsia="es-ES"/>
              </w:rPr>
              <w:t xml:space="preserve"> Identical reports of Waypoint Change received in an ADS-C message </w:t>
            </w:r>
          </w:p>
          <w:p w:rsidR="003F506C" w:rsidRPr="003F506C" w:rsidRDefault="003F506C" w:rsidP="003F506C">
            <w:pPr>
              <w:numPr>
                <w:ilvl w:val="0"/>
                <w:numId w:val="2"/>
              </w:numPr>
              <w:spacing w:after="0" w:line="300" w:lineRule="auto"/>
              <w:ind w:left="1267"/>
              <w:contextualSpacing/>
              <w:rPr>
                <w:rFonts w:ascii="Arial" w:eastAsia="Times New Roman" w:hAnsi="Arial" w:cs="Arial"/>
                <w:noProof w:val="0"/>
                <w:color w:val="000000"/>
                <w:sz w:val="24"/>
                <w:szCs w:val="36"/>
                <w:lang w:val="en-US" w:eastAsia="es-ES"/>
              </w:rPr>
            </w:pPr>
            <w:r w:rsidRPr="003F506C">
              <w:rPr>
                <w:rFonts w:ascii="Arial" w:eastAsia="Calibri" w:hAnsi="Arial" w:cs="ArialMT"/>
                <w:noProof w:val="0"/>
                <w:color w:val="000000"/>
                <w:kern w:val="24"/>
                <w:sz w:val="24"/>
                <w:szCs w:val="20"/>
                <w:lang w:eastAsia="es-ES"/>
              </w:rPr>
              <w:t>CPDLC Message: “Not Current Data Authority”</w:t>
            </w:r>
            <w:r w:rsidRPr="003F506C">
              <w:rPr>
                <w:rFonts w:ascii="ENAIRE Titillium Regular" w:eastAsia="Calibri" w:hAnsi="ENAIRE Titillium Regular" w:cs="ArialMT"/>
                <w:noProof w:val="0"/>
                <w:color w:val="00224C"/>
                <w:kern w:val="24"/>
                <w:sz w:val="24"/>
                <w:szCs w:val="20"/>
                <w:lang w:val="en-US" w:eastAsia="es-ES"/>
              </w:rPr>
              <w:t xml:space="preserve"> </w:t>
            </w:r>
          </w:p>
          <w:p w:rsidR="003F506C" w:rsidRPr="003F506C" w:rsidRDefault="003F506C" w:rsidP="003F506C">
            <w:pPr>
              <w:numPr>
                <w:ilvl w:val="0"/>
                <w:numId w:val="2"/>
              </w:numPr>
              <w:spacing w:after="0" w:line="300" w:lineRule="auto"/>
              <w:ind w:left="1267"/>
              <w:contextualSpacing/>
              <w:jc w:val="both"/>
              <w:rPr>
                <w:rFonts w:ascii="Arial" w:eastAsia="Times New Roman" w:hAnsi="Arial" w:cs="Arial"/>
                <w:noProof w:val="0"/>
                <w:color w:val="000000"/>
                <w:sz w:val="24"/>
                <w:szCs w:val="36"/>
                <w:lang w:val="en-US" w:eastAsia="es-ES"/>
              </w:rPr>
            </w:pPr>
            <w:r w:rsidRPr="003F506C">
              <w:rPr>
                <w:rFonts w:ascii="Arial" w:eastAsia="Calibri" w:hAnsi="Arial" w:cs="ArialMT"/>
                <w:noProof w:val="0"/>
                <w:color w:val="000000"/>
                <w:kern w:val="24"/>
                <w:sz w:val="24"/>
                <w:szCs w:val="20"/>
                <w:lang w:eastAsia="es-ES"/>
              </w:rPr>
              <w:t>Incorrect downlink CPDLC messages have been received:</w:t>
            </w:r>
            <w:r w:rsidRPr="003F506C">
              <w:rPr>
                <w:rFonts w:ascii="ENAIRE Titillium Regular" w:eastAsia="Calibri" w:hAnsi="ENAIRE Titillium Regular" w:cs="ArialMT"/>
                <w:noProof w:val="0"/>
                <w:color w:val="00224C"/>
                <w:kern w:val="24"/>
                <w:sz w:val="24"/>
                <w:szCs w:val="20"/>
                <w:lang w:val="en-US" w:eastAsia="es-ES"/>
              </w:rPr>
              <w:t xml:space="preserve"> </w:t>
            </w:r>
          </w:p>
          <w:p w:rsidR="003F506C" w:rsidRPr="003F506C" w:rsidRDefault="003F506C" w:rsidP="004636DD">
            <w:pPr>
              <w:numPr>
                <w:ilvl w:val="0"/>
                <w:numId w:val="2"/>
              </w:numPr>
              <w:spacing w:after="0" w:line="300" w:lineRule="auto"/>
              <w:ind w:left="1267"/>
              <w:contextualSpacing/>
              <w:jc w:val="both"/>
              <w:rPr>
                <w:rFonts w:ascii="Arial" w:eastAsia="Times New Roman" w:hAnsi="Arial" w:cs="Arial"/>
                <w:noProof w:val="0"/>
                <w:color w:val="000000"/>
                <w:sz w:val="20"/>
                <w:szCs w:val="36"/>
                <w:lang w:val="es-ES" w:eastAsia="es-ES"/>
              </w:rPr>
            </w:pPr>
            <w:r w:rsidRPr="003F506C">
              <w:rPr>
                <w:rFonts w:ascii="Arial" w:eastAsia="Calibri" w:hAnsi="Arial" w:cs="ArialMT"/>
                <w:noProof w:val="0"/>
                <w:color w:val="000000"/>
                <w:kern w:val="24"/>
                <w:sz w:val="24"/>
                <w:szCs w:val="20"/>
                <w:lang w:eastAsia="es-ES"/>
              </w:rPr>
              <w:t xml:space="preserve">Other(describe) </w:t>
            </w:r>
            <w:r w:rsidRPr="003F506C">
              <w:rPr>
                <w:rFonts w:ascii="Arial" w:eastAsia="Calibri" w:hAnsi="Arial" w:cs="ArialMT"/>
                <w:noProof w:val="0"/>
                <w:color w:val="000000"/>
                <w:kern w:val="24"/>
                <w:szCs w:val="20"/>
                <w:lang w:eastAsia="es-ES"/>
              </w:rPr>
              <w:t xml:space="preserve"> ___________________________________________________________</w:t>
            </w:r>
            <w:r w:rsidRPr="003F506C">
              <w:rPr>
                <w:rFonts w:ascii="Arial" w:eastAsia="Calibri" w:hAnsi="Arial" w:cs="ArialMT"/>
                <w:noProof w:val="0"/>
                <w:color w:val="000000"/>
                <w:kern w:val="24"/>
                <w:szCs w:val="20"/>
                <w:lang w:val="es-ES_tradnl" w:eastAsia="es-ES"/>
              </w:rPr>
              <w:t xml:space="preserve"> </w:t>
            </w:r>
          </w:p>
        </w:tc>
      </w:tr>
    </w:tbl>
    <w:p w:rsidR="004636DD" w:rsidRDefault="004636DD" w:rsidP="004636DD">
      <w:pPr>
        <w:rPr>
          <w:lang w:val="en-US"/>
        </w:rPr>
      </w:pPr>
      <w:r w:rsidRPr="004636DD">
        <w:rPr>
          <w:b/>
          <w:bCs/>
        </w:rPr>
        <w:t>Crew/Controller comments (if any)</w:t>
      </w:r>
      <w:r w:rsidRPr="004636DD">
        <w:rPr>
          <w:lang w:val="en-US"/>
        </w:rPr>
        <w:t xml:space="preserve"> </w:t>
      </w:r>
      <w:r>
        <w:rPr>
          <w:lang w:val="en-US"/>
        </w:rPr>
        <w:t>:</w:t>
      </w:r>
    </w:p>
    <w:p w:rsidR="004636DD" w:rsidRDefault="004636DD" w:rsidP="004636DD">
      <w:pPr>
        <w:rPr>
          <w:lang w:val="en-US"/>
        </w:rPr>
      </w:pPr>
    </w:p>
    <w:p w:rsidR="004636DD" w:rsidRPr="004636DD" w:rsidRDefault="004636DD" w:rsidP="004636DD">
      <w:pPr>
        <w:rPr>
          <w:lang w:val="en-US"/>
        </w:rPr>
      </w:pPr>
      <w:r w:rsidRPr="004636DD">
        <w:t>When complete please forward the report(s) to: South Atlantic Monitoring Agency (SATMA-CFRA)</w:t>
      </w:r>
      <w:r w:rsidRPr="004636DD">
        <w:rPr>
          <w:lang w:val="en-US"/>
        </w:rPr>
        <w:t xml:space="preserve"> </w:t>
      </w:r>
    </w:p>
    <w:p w:rsidR="003F506C" w:rsidRPr="004636DD" w:rsidRDefault="004636DD">
      <w:pPr>
        <w:rPr>
          <w:sz w:val="28"/>
          <w:lang w:val="en-US"/>
        </w:rPr>
      </w:pPr>
      <w:r w:rsidRPr="004636DD">
        <w:rPr>
          <w:b/>
          <w:sz w:val="32"/>
        </w:rPr>
        <w:t>E-Mail: satma@enaire.es</w:t>
      </w:r>
      <w:r w:rsidRPr="004636DD">
        <w:rPr>
          <w:b/>
          <w:sz w:val="32"/>
          <w:lang w:val="es-ES_tradnl"/>
        </w:rPr>
        <w:t xml:space="preserve"> </w:t>
      </w:r>
    </w:p>
    <w:p w:rsidR="003F506C" w:rsidRPr="004636DD" w:rsidRDefault="003F506C">
      <w:pPr>
        <w:rPr>
          <w:lang w:val="en-US"/>
        </w:rPr>
      </w:pPr>
    </w:p>
    <w:sectPr w:rsidR="003F506C" w:rsidRPr="004636DD" w:rsidSect="004636DD"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ENAIRE Titillium Regular">
    <w:panose1 w:val="02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72B39"/>
    <w:multiLevelType w:val="hybridMultilevel"/>
    <w:tmpl w:val="D46A68BC"/>
    <w:lvl w:ilvl="0" w:tplc="7012F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CE49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9012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1E97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22A2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C063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8EF1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18D6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6665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360643"/>
    <w:multiLevelType w:val="hybridMultilevel"/>
    <w:tmpl w:val="8FBCC1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revisionView w:inkAnnotations="0"/>
  <w:defaultTabStop w:val="708"/>
  <w:hyphenationZone w:val="425"/>
  <w:characterSpacingControl w:val="doNotCompress"/>
  <w:compat/>
  <w:rsids>
    <w:rsidRoot w:val="003F506C"/>
    <w:rsid w:val="000D2294"/>
    <w:rsid w:val="000E4429"/>
    <w:rsid w:val="00223F28"/>
    <w:rsid w:val="00250710"/>
    <w:rsid w:val="003B33E6"/>
    <w:rsid w:val="003F506C"/>
    <w:rsid w:val="0043482E"/>
    <w:rsid w:val="004636DD"/>
    <w:rsid w:val="004C00C7"/>
    <w:rsid w:val="00621D88"/>
    <w:rsid w:val="007B4B85"/>
    <w:rsid w:val="008D7932"/>
    <w:rsid w:val="00921019"/>
    <w:rsid w:val="00D9703F"/>
    <w:rsid w:val="00E32E7D"/>
    <w:rsid w:val="00F10605"/>
    <w:rsid w:val="00F77FE3"/>
    <w:rsid w:val="00FD7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710"/>
    <w:rPr>
      <w:noProof/>
      <w:lang w:val="en-GB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F5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F506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F5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3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5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1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83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16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39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3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6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75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7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AENA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AENA</dc:creator>
  <cp:lastModifiedBy>AENA</cp:lastModifiedBy>
  <cp:revision>1</cp:revision>
  <dcterms:created xsi:type="dcterms:W3CDTF">2017-06-15T12:02:00Z</dcterms:created>
  <dcterms:modified xsi:type="dcterms:W3CDTF">2017-06-15T12:16:00Z</dcterms:modified>
</cp:coreProperties>
</file>